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28FCDCDF" w14:textId="77777777" w:rsidTr="0041512A">
        <w:tc>
          <w:tcPr>
            <w:tcW w:w="2263" w:type="dxa"/>
          </w:tcPr>
          <w:p w14:paraId="0D1FA7F1" w14:textId="148B6300" w:rsidR="0041512A" w:rsidRDefault="00FA040B" w:rsidP="0041512A">
            <w:pPr>
              <w:spacing w:before="120" w:after="120"/>
            </w:pPr>
            <w:hyperlink r:id="rId5" w:history="1">
              <w:r w:rsidR="00FC1C49" w:rsidRPr="00697079">
                <w:rPr>
                  <w:rStyle w:val="Collegamentoipertestuale"/>
                  <w:b/>
                </w:rPr>
                <w:t>Procedimenti</w:t>
              </w:r>
            </w:hyperlink>
          </w:p>
        </w:tc>
        <w:tc>
          <w:tcPr>
            <w:tcW w:w="5387" w:type="dxa"/>
          </w:tcPr>
          <w:p w14:paraId="127A79A2" w14:textId="77777777" w:rsidR="0041512A" w:rsidRDefault="005C01FD" w:rsidP="0041512A">
            <w:pPr>
              <w:jc w:val="center"/>
            </w:pPr>
            <w:r>
              <w:rPr>
                <w:b/>
                <w:color w:val="006600"/>
                <w:sz w:val="40"/>
                <w:szCs w:val="40"/>
                <w:u w:val="none"/>
              </w:rPr>
              <w:t>Innalzamento Areostati</w:t>
            </w:r>
          </w:p>
        </w:tc>
        <w:tc>
          <w:tcPr>
            <w:tcW w:w="1979" w:type="dxa"/>
          </w:tcPr>
          <w:p w14:paraId="7F98EE5A" w14:textId="5F15566E" w:rsidR="0041512A" w:rsidRPr="0041512A" w:rsidRDefault="004A1B75" w:rsidP="0041512A">
            <w:pPr>
              <w:spacing w:before="120" w:after="120"/>
              <w:jc w:val="center"/>
              <w:rPr>
                <w:b/>
              </w:rPr>
            </w:pPr>
            <w:hyperlink r:id="rId6" w:history="1">
              <w:r w:rsidRPr="002F49AE">
                <w:rPr>
                  <w:rStyle w:val="Collegamentoipertestuale"/>
                  <w:b/>
                </w:rPr>
                <w:t>Contatti</w:t>
              </w:r>
            </w:hyperlink>
          </w:p>
        </w:tc>
      </w:tr>
      <w:tr w:rsidR="00342D58" w14:paraId="5457DBA1" w14:textId="77777777" w:rsidTr="0041512A">
        <w:tc>
          <w:tcPr>
            <w:tcW w:w="9629" w:type="dxa"/>
            <w:gridSpan w:val="3"/>
          </w:tcPr>
          <w:p w14:paraId="07B21954" w14:textId="368DFB5C" w:rsidR="00F33A15" w:rsidRPr="005D7758" w:rsidRDefault="005D7758" w:rsidP="00F312D0">
            <w:pPr>
              <w:spacing w:before="240" w:after="120"/>
              <w:ind w:left="164"/>
              <w:rPr>
                <w:rStyle w:val="Collegamentoipertestuale"/>
                <w:b/>
                <w:color w:val="C00000"/>
                <w:u w:val="none"/>
              </w:rPr>
            </w:pPr>
            <w:r w:rsidRPr="005D7758">
              <w:rPr>
                <w:rStyle w:val="Collegamentoipertestuale"/>
                <w:b/>
                <w:color w:val="C00000"/>
                <w:u w:val="none"/>
              </w:rPr>
              <w:t>Definizione</w:t>
            </w:r>
          </w:p>
          <w:p w14:paraId="56825579" w14:textId="77777777" w:rsidR="00CE16FB" w:rsidRPr="00021D33" w:rsidRDefault="00CE16FB" w:rsidP="00CE16FB">
            <w:pPr>
              <w:spacing w:after="120"/>
              <w:ind w:left="164" w:right="312"/>
              <w:jc w:val="both"/>
              <w:rPr>
                <w:rFonts w:eastAsia="Times New Roman"/>
                <w:color w:val="auto"/>
                <w:sz w:val="20"/>
                <w:szCs w:val="20"/>
                <w:u w:val="none"/>
                <w:lang w:eastAsia="it-IT"/>
              </w:rPr>
            </w:pPr>
            <w:r w:rsidRPr="00021D33">
              <w:rPr>
                <w:rFonts w:eastAsia="Times New Roman"/>
                <w:color w:val="auto"/>
                <w:sz w:val="20"/>
                <w:szCs w:val="20"/>
                <w:u w:val="none"/>
                <w:lang w:eastAsia="it-IT"/>
              </w:rPr>
              <w:t xml:space="preserve">Senza licenza dell’autorità locale di pubblica sicurezza </w:t>
            </w:r>
            <w:r w:rsidRPr="00021D33">
              <w:rPr>
                <w:rFonts w:eastAsia="Times New Roman"/>
                <w:b/>
                <w:bCs/>
                <w:color w:val="auto"/>
                <w:sz w:val="20"/>
                <w:szCs w:val="20"/>
                <w:u w:val="none"/>
                <w:lang w:eastAsia="it-IT"/>
              </w:rPr>
              <w:t>(Sindaco),</w:t>
            </w:r>
            <w:r w:rsidRPr="00021D33">
              <w:rPr>
                <w:rFonts w:eastAsia="Times New Roman"/>
                <w:color w:val="auto"/>
                <w:sz w:val="20"/>
                <w:szCs w:val="20"/>
                <w:u w:val="none"/>
                <w:lang w:eastAsia="it-IT"/>
              </w:rPr>
              <w:t xml:space="preserve"> da richiedersi al SUAP, </w:t>
            </w:r>
            <w:r w:rsidRPr="00021D33">
              <w:rPr>
                <w:rFonts w:eastAsia="Times New Roman"/>
                <w:b/>
                <w:color w:val="auto"/>
                <w:sz w:val="20"/>
                <w:szCs w:val="20"/>
                <w:u w:val="none"/>
                <w:lang w:eastAsia="it-IT"/>
              </w:rPr>
              <w:t xml:space="preserve">non possono spararsi armi da fuoco né lanciarsi razzi, accendersi fuochi di artificio, </w:t>
            </w:r>
            <w:r w:rsidRPr="005D7758">
              <w:rPr>
                <w:rFonts w:eastAsia="Times New Roman"/>
                <w:b/>
                <w:color w:val="FF0000"/>
                <w:sz w:val="20"/>
                <w:szCs w:val="20"/>
                <w:u w:val="none"/>
                <w:lang w:eastAsia="it-IT"/>
              </w:rPr>
              <w:t>innalzarsi aerostati con fiamme</w:t>
            </w:r>
            <w:r w:rsidRPr="00021D33">
              <w:rPr>
                <w:rFonts w:eastAsia="Times New Roman"/>
                <w:b/>
                <w:color w:val="auto"/>
                <w:sz w:val="20"/>
                <w:szCs w:val="20"/>
                <w:u w:val="none"/>
                <w:lang w:eastAsia="it-IT"/>
              </w:rPr>
              <w:t>, o in genere farsi esplosioni o accensioni pericolose in un luogo abitato o nelle sue adiacenze o lungo una via pubblica o in direzione di essa</w:t>
            </w:r>
            <w:r w:rsidRPr="00021D33">
              <w:rPr>
                <w:rFonts w:eastAsia="Times New Roman"/>
                <w:color w:val="auto"/>
                <w:sz w:val="20"/>
                <w:szCs w:val="20"/>
                <w:u w:val="none"/>
                <w:lang w:eastAsia="it-IT"/>
              </w:rPr>
              <w:t xml:space="preserve">. </w:t>
            </w:r>
          </w:p>
          <w:p w14:paraId="6115F85E" w14:textId="77777777" w:rsidR="00CE16FB" w:rsidRPr="00021D33" w:rsidRDefault="00CE16FB" w:rsidP="00CE16FB">
            <w:pPr>
              <w:spacing w:after="120"/>
              <w:ind w:left="164" w:right="312"/>
              <w:jc w:val="both"/>
              <w:rPr>
                <w:rFonts w:eastAsia="Times New Roman"/>
                <w:color w:val="FF0000"/>
                <w:sz w:val="20"/>
                <w:szCs w:val="20"/>
                <w:u w:val="none"/>
                <w:lang w:eastAsia="it-IT"/>
              </w:rPr>
            </w:pPr>
            <w:r w:rsidRPr="00021D33">
              <w:rPr>
                <w:rFonts w:eastAsia="Times New Roman"/>
                <w:b/>
                <w:bCs/>
                <w:color w:val="FF0000"/>
                <w:sz w:val="20"/>
                <w:szCs w:val="20"/>
                <w:u w:val="none"/>
                <w:lang w:eastAsia="it-IT"/>
              </w:rPr>
              <w:t>È vietato sparare mortaretti e simili apparecchi.</w:t>
            </w:r>
          </w:p>
          <w:p w14:paraId="22E62031" w14:textId="77777777" w:rsidR="00CE16FB" w:rsidRPr="00021D33" w:rsidRDefault="00CE16FB" w:rsidP="00CE16FB">
            <w:pPr>
              <w:ind w:left="164" w:right="312"/>
              <w:jc w:val="both"/>
              <w:rPr>
                <w:rFonts w:eastAsia="Times New Roman"/>
                <w:color w:val="auto"/>
                <w:sz w:val="20"/>
                <w:szCs w:val="20"/>
                <w:u w:val="none"/>
                <w:lang w:eastAsia="it-IT"/>
              </w:rPr>
            </w:pPr>
            <w:r w:rsidRPr="00021D33">
              <w:rPr>
                <w:rFonts w:eastAsia="Times New Roman"/>
                <w:color w:val="auto"/>
                <w:sz w:val="20"/>
                <w:szCs w:val="20"/>
                <w:u w:val="none"/>
                <w:lang w:eastAsia="it-IT"/>
              </w:rPr>
              <w:t>Gli spari, le esplosioni e le accensioni diverse da quelle contemplate al comma precedente non possono compiersi che in luogo sufficientemente lontano dalla folla, in modo da prevenire danni o infortuni. È obbligatoria l'assistenza della forza pubblica.</w:t>
            </w:r>
          </w:p>
          <w:p w14:paraId="716DBCCF" w14:textId="77777777" w:rsidR="00CE16FB" w:rsidRPr="005D7758" w:rsidRDefault="00CE16FB" w:rsidP="00CE16FB">
            <w:pPr>
              <w:spacing w:line="270" w:lineRule="atLeast"/>
              <w:ind w:left="164"/>
              <w:rPr>
                <w:rFonts w:eastAsia="Times New Roman"/>
                <w:color w:val="C00000"/>
                <w:u w:val="none"/>
                <w:lang w:eastAsia="it-IT"/>
              </w:rPr>
            </w:pPr>
          </w:p>
          <w:p w14:paraId="19F13635" w14:textId="77777777" w:rsidR="00F07CBF" w:rsidRPr="005D7758" w:rsidRDefault="00CE16FB" w:rsidP="00F07CBF">
            <w:pPr>
              <w:spacing w:after="120" w:line="270" w:lineRule="atLeast"/>
              <w:ind w:left="164"/>
              <w:rPr>
                <w:rFonts w:eastAsia="Times New Roman"/>
                <w:b/>
                <w:color w:val="C00000"/>
                <w:u w:val="none"/>
                <w:lang w:eastAsia="it-IT"/>
              </w:rPr>
            </w:pPr>
            <w:r w:rsidRPr="005D7758">
              <w:rPr>
                <w:rFonts w:eastAsia="Times New Roman"/>
                <w:b/>
                <w:color w:val="C00000"/>
                <w:u w:val="none"/>
                <w:lang w:eastAsia="it-IT"/>
              </w:rPr>
              <w:t>Modalità di esercizio</w:t>
            </w:r>
          </w:p>
          <w:p w14:paraId="55B93D09" w14:textId="77777777" w:rsidR="00CE16FB" w:rsidRPr="00021D33" w:rsidRDefault="00CE16FB" w:rsidP="005D7758">
            <w:pPr>
              <w:spacing w:after="80"/>
              <w:ind w:left="164" w:right="312"/>
              <w:jc w:val="both"/>
              <w:rPr>
                <w:rFonts w:eastAsia="Times New Roman"/>
                <w:color w:val="auto"/>
                <w:sz w:val="20"/>
                <w:szCs w:val="20"/>
                <w:u w:val="none"/>
                <w:lang w:eastAsia="it-IT"/>
              </w:rPr>
            </w:pPr>
            <w:r w:rsidRPr="00021D33">
              <w:rPr>
                <w:rFonts w:eastAsia="Times New Roman"/>
                <w:color w:val="auto"/>
                <w:sz w:val="20"/>
                <w:szCs w:val="20"/>
                <w:u w:val="none"/>
                <w:lang w:eastAsia="it-IT"/>
              </w:rPr>
              <w:t xml:space="preserve">Per ottenere la licenza per </w:t>
            </w:r>
            <w:r w:rsidRPr="00021D33">
              <w:rPr>
                <w:rFonts w:eastAsia="Times New Roman"/>
                <w:b/>
                <w:color w:val="auto"/>
                <w:sz w:val="20"/>
                <w:szCs w:val="20"/>
                <w:u w:val="none"/>
                <w:lang w:eastAsia="it-IT"/>
              </w:rPr>
              <w:t>innalzamento di aerostati</w:t>
            </w:r>
            <w:r w:rsidRPr="00021D33">
              <w:rPr>
                <w:rFonts w:eastAsia="Times New Roman"/>
                <w:color w:val="auto"/>
                <w:sz w:val="20"/>
                <w:szCs w:val="20"/>
                <w:u w:val="none"/>
                <w:lang w:eastAsia="it-IT"/>
              </w:rPr>
              <w:t xml:space="preserve"> occorre che venga presentata al SUAP, in via telematica con PEC, la seguente documentazione:</w:t>
            </w:r>
          </w:p>
          <w:p w14:paraId="3E675B6F" w14:textId="57805118" w:rsidR="00CE16FB" w:rsidRPr="00021D33" w:rsidRDefault="00CE16FB" w:rsidP="005D7758">
            <w:pPr>
              <w:pStyle w:val="Paragrafoelenco"/>
              <w:numPr>
                <w:ilvl w:val="0"/>
                <w:numId w:val="11"/>
              </w:numPr>
              <w:spacing w:after="80"/>
              <w:ind w:left="589" w:right="312"/>
              <w:jc w:val="both"/>
              <w:rPr>
                <w:rFonts w:eastAsia="Times New Roman"/>
                <w:color w:val="auto"/>
                <w:sz w:val="20"/>
                <w:szCs w:val="20"/>
                <w:u w:val="none"/>
                <w:lang w:eastAsia="it-IT"/>
              </w:rPr>
            </w:pPr>
            <w:r w:rsidRPr="00021D33">
              <w:rPr>
                <w:rFonts w:eastAsia="Times New Roman"/>
                <w:color w:val="auto"/>
                <w:sz w:val="20"/>
                <w:szCs w:val="20"/>
                <w:u w:val="none"/>
                <w:lang w:eastAsia="it-IT"/>
              </w:rPr>
              <w:t xml:space="preserve">Domanda, con apposito </w:t>
            </w:r>
            <w:hyperlink r:id="rId7" w:history="1">
              <w:r w:rsidRPr="00021D33">
                <w:rPr>
                  <w:rFonts w:eastAsia="Times New Roman"/>
                  <w:b/>
                  <w:bCs/>
                  <w:color w:val="0000FF"/>
                  <w:sz w:val="20"/>
                  <w:szCs w:val="20"/>
                  <w:u w:val="none"/>
                  <w:lang w:eastAsia="it-IT"/>
                </w:rPr>
                <w:t>modulo comunale</w:t>
              </w:r>
            </w:hyperlink>
            <w:r w:rsidRPr="00021D33">
              <w:rPr>
                <w:rFonts w:eastAsia="Times New Roman"/>
                <w:color w:val="auto"/>
                <w:sz w:val="20"/>
                <w:szCs w:val="20"/>
                <w:u w:val="none"/>
                <w:lang w:eastAsia="it-IT"/>
              </w:rPr>
              <w:t>, a firma dell’innalzatore dell’aerostato da presentarsi almeno 30 giorni prima dell’evento, specificante le proprie generalità, il numero di codice fiscale, l'indicazione del luogo, del tipo di fuochi di cui si chiede l’accensione, del giorno e dell'orario dello spettacolo, e l’eventuale presenza di collaboratori (loro generalità e abilitazione) durante l'accensione;</w:t>
            </w:r>
          </w:p>
          <w:p w14:paraId="1E2B9103" w14:textId="77777777" w:rsidR="00CE16FB" w:rsidRPr="00021D33" w:rsidRDefault="00CE16FB" w:rsidP="005D7758">
            <w:pPr>
              <w:numPr>
                <w:ilvl w:val="0"/>
                <w:numId w:val="10"/>
              </w:numPr>
              <w:spacing w:after="80"/>
              <w:ind w:left="589" w:right="312"/>
              <w:jc w:val="both"/>
              <w:rPr>
                <w:rFonts w:eastAsia="Times New Roman"/>
                <w:color w:val="auto"/>
                <w:sz w:val="20"/>
                <w:szCs w:val="20"/>
                <w:u w:val="none"/>
                <w:lang w:eastAsia="it-IT"/>
              </w:rPr>
            </w:pPr>
            <w:r>
              <w:rPr>
                <w:rFonts w:eastAsia="Times New Roman"/>
                <w:color w:val="auto"/>
                <w:sz w:val="20"/>
                <w:szCs w:val="20"/>
                <w:u w:val="none"/>
                <w:lang w:eastAsia="it-IT"/>
              </w:rPr>
              <w:t>A</w:t>
            </w:r>
            <w:r w:rsidRPr="00021D33">
              <w:rPr>
                <w:rFonts w:eastAsia="Times New Roman"/>
                <w:color w:val="auto"/>
                <w:sz w:val="20"/>
                <w:szCs w:val="20"/>
                <w:u w:val="none"/>
                <w:lang w:eastAsia="it-IT"/>
              </w:rPr>
              <w:t>tto comprovante il consenso all'occupazione del suolo destinato alle accensioni o innalzamento aerostati;</w:t>
            </w:r>
          </w:p>
          <w:p w14:paraId="0866D1D9" w14:textId="77777777" w:rsidR="00CE16FB" w:rsidRPr="00021D33" w:rsidRDefault="00CE16FB" w:rsidP="005D7758">
            <w:pPr>
              <w:numPr>
                <w:ilvl w:val="0"/>
                <w:numId w:val="10"/>
              </w:numPr>
              <w:spacing w:after="80"/>
              <w:ind w:left="589" w:right="312"/>
              <w:jc w:val="both"/>
              <w:rPr>
                <w:rFonts w:eastAsia="Times New Roman"/>
                <w:color w:val="auto"/>
                <w:sz w:val="20"/>
                <w:szCs w:val="20"/>
                <w:u w:val="none"/>
                <w:lang w:eastAsia="it-IT"/>
              </w:rPr>
            </w:pPr>
            <w:r>
              <w:rPr>
                <w:rFonts w:eastAsia="Times New Roman"/>
                <w:color w:val="auto"/>
                <w:sz w:val="20"/>
                <w:szCs w:val="20"/>
                <w:u w:val="none"/>
                <w:lang w:eastAsia="it-IT"/>
              </w:rPr>
              <w:t>I</w:t>
            </w:r>
            <w:r w:rsidRPr="00021D33">
              <w:rPr>
                <w:rFonts w:eastAsia="Times New Roman"/>
                <w:color w:val="auto"/>
                <w:sz w:val="20"/>
                <w:szCs w:val="20"/>
                <w:u w:val="none"/>
                <w:lang w:eastAsia="it-IT"/>
              </w:rPr>
              <w:t>donea copertura assicurativa per danni a cose e persone;</w:t>
            </w:r>
          </w:p>
          <w:p w14:paraId="6B8D1652" w14:textId="77777777" w:rsidR="00CE16FB" w:rsidRPr="00021D33" w:rsidRDefault="00CE16FB" w:rsidP="005D7758">
            <w:pPr>
              <w:numPr>
                <w:ilvl w:val="0"/>
                <w:numId w:val="10"/>
              </w:numPr>
              <w:spacing w:after="80"/>
              <w:ind w:left="589" w:right="312"/>
              <w:jc w:val="both"/>
              <w:rPr>
                <w:rFonts w:eastAsia="Times New Roman"/>
                <w:color w:val="auto"/>
                <w:sz w:val="20"/>
                <w:szCs w:val="20"/>
                <w:u w:val="none"/>
                <w:lang w:eastAsia="it-IT"/>
              </w:rPr>
            </w:pPr>
            <w:r>
              <w:rPr>
                <w:rFonts w:eastAsia="Times New Roman"/>
                <w:color w:val="auto"/>
                <w:sz w:val="20"/>
                <w:szCs w:val="20"/>
                <w:u w:val="none"/>
                <w:lang w:eastAsia="it-IT"/>
              </w:rPr>
              <w:t>C</w:t>
            </w:r>
            <w:r w:rsidRPr="00021D33">
              <w:rPr>
                <w:rFonts w:eastAsia="Times New Roman"/>
                <w:color w:val="auto"/>
                <w:sz w:val="20"/>
                <w:szCs w:val="20"/>
                <w:u w:val="none"/>
                <w:lang w:eastAsia="it-IT"/>
              </w:rPr>
              <w:t>opia del programma, se trattasi di manifestazione pubblica;</w:t>
            </w:r>
          </w:p>
          <w:p w14:paraId="1E9E333D" w14:textId="77777777" w:rsidR="00CE16FB" w:rsidRPr="00021D33" w:rsidRDefault="00CE16FB" w:rsidP="005D7758">
            <w:pPr>
              <w:numPr>
                <w:ilvl w:val="0"/>
                <w:numId w:val="10"/>
              </w:numPr>
              <w:spacing w:after="80"/>
              <w:ind w:left="589" w:right="312"/>
              <w:jc w:val="both"/>
              <w:rPr>
                <w:rFonts w:eastAsia="Times New Roman"/>
                <w:color w:val="auto"/>
                <w:sz w:val="20"/>
                <w:szCs w:val="20"/>
                <w:u w:val="none"/>
                <w:lang w:eastAsia="it-IT"/>
              </w:rPr>
            </w:pPr>
            <w:r>
              <w:rPr>
                <w:rFonts w:eastAsia="Times New Roman"/>
                <w:color w:val="auto"/>
                <w:sz w:val="20"/>
                <w:szCs w:val="20"/>
                <w:u w:val="none"/>
                <w:lang w:eastAsia="it-IT"/>
              </w:rPr>
              <w:t>C</w:t>
            </w:r>
            <w:r w:rsidRPr="00021D33">
              <w:rPr>
                <w:rFonts w:eastAsia="Times New Roman"/>
                <w:color w:val="auto"/>
                <w:sz w:val="20"/>
                <w:szCs w:val="20"/>
                <w:u w:val="none"/>
                <w:lang w:eastAsia="it-IT"/>
              </w:rPr>
              <w:t>opia del titolo che abilita il pirotecnico o l’innalzatore di aerostati e degli eventuali collaboratori all'esercizio della professione;</w:t>
            </w:r>
          </w:p>
          <w:p w14:paraId="362070EB" w14:textId="77777777" w:rsidR="00CE16FB" w:rsidRPr="00021D33" w:rsidRDefault="00CE16FB" w:rsidP="005D7758">
            <w:pPr>
              <w:numPr>
                <w:ilvl w:val="0"/>
                <w:numId w:val="10"/>
              </w:numPr>
              <w:spacing w:after="80"/>
              <w:ind w:left="589" w:right="312"/>
              <w:jc w:val="both"/>
              <w:rPr>
                <w:rFonts w:eastAsia="Times New Roman"/>
                <w:color w:val="auto"/>
                <w:sz w:val="20"/>
                <w:szCs w:val="20"/>
                <w:u w:val="none"/>
                <w:lang w:eastAsia="it-IT"/>
              </w:rPr>
            </w:pPr>
            <w:r>
              <w:rPr>
                <w:rFonts w:eastAsia="Times New Roman"/>
                <w:color w:val="auto"/>
                <w:sz w:val="20"/>
                <w:szCs w:val="20"/>
                <w:u w:val="none"/>
                <w:lang w:eastAsia="it-IT"/>
              </w:rPr>
              <w:t>I</w:t>
            </w:r>
            <w:r w:rsidRPr="00021D33">
              <w:rPr>
                <w:rFonts w:eastAsia="Times New Roman"/>
                <w:color w:val="auto"/>
                <w:sz w:val="20"/>
                <w:szCs w:val="20"/>
                <w:u w:val="none"/>
                <w:lang w:eastAsia="it-IT"/>
              </w:rPr>
              <w:t>ndicazione planimetrica dell’area con raggio di 500 metri dal luogo di accensione fuochi o innalzamento aerostati, evidenziando il punto di accensione o innalzamento, quello di sosta del pubblico, tutti gli eventuali manufatti insistenti nell'area interessata e la presenza di linee elettriche aeree;</w:t>
            </w:r>
          </w:p>
          <w:p w14:paraId="1598C556" w14:textId="77777777" w:rsidR="00CE16FB" w:rsidRDefault="00CE16FB" w:rsidP="00CE16FB">
            <w:pPr>
              <w:pStyle w:val="Paragrafoelenco"/>
              <w:numPr>
                <w:ilvl w:val="0"/>
                <w:numId w:val="10"/>
              </w:numPr>
              <w:tabs>
                <w:tab w:val="clear" w:pos="720"/>
              </w:tabs>
              <w:ind w:left="589" w:right="312"/>
              <w:jc w:val="both"/>
              <w:rPr>
                <w:rFonts w:eastAsia="Times New Roman"/>
                <w:color w:val="auto"/>
                <w:sz w:val="20"/>
                <w:szCs w:val="20"/>
                <w:u w:val="none"/>
                <w:lang w:eastAsia="it-IT"/>
              </w:rPr>
            </w:pPr>
            <w:r>
              <w:rPr>
                <w:rFonts w:eastAsia="Times New Roman"/>
                <w:color w:val="auto"/>
                <w:sz w:val="20"/>
                <w:szCs w:val="20"/>
                <w:u w:val="none"/>
                <w:lang w:eastAsia="it-IT"/>
              </w:rPr>
              <w:t>R</w:t>
            </w:r>
            <w:r w:rsidRPr="00021D33">
              <w:rPr>
                <w:rFonts w:eastAsia="Times New Roman"/>
                <w:color w:val="auto"/>
                <w:sz w:val="20"/>
                <w:szCs w:val="20"/>
                <w:u w:val="none"/>
                <w:lang w:eastAsia="it-IT"/>
              </w:rPr>
              <w:t>elazione tecnica del tipo di fuoco e certificazione tecnica sull’idoneità dell’aerostato.</w:t>
            </w:r>
          </w:p>
          <w:p w14:paraId="20D71F2E" w14:textId="77777777" w:rsidR="00F9214D" w:rsidRDefault="00F9214D" w:rsidP="0020404C">
            <w:pPr>
              <w:pStyle w:val="Paragrafoelenco"/>
              <w:ind w:left="589" w:right="312"/>
              <w:jc w:val="both"/>
              <w:rPr>
                <w:rFonts w:eastAsia="Times New Roman"/>
                <w:color w:val="auto"/>
                <w:sz w:val="20"/>
                <w:szCs w:val="20"/>
                <w:u w:val="none"/>
                <w:lang w:eastAsia="it-IT"/>
              </w:rPr>
            </w:pPr>
          </w:p>
          <w:p w14:paraId="7CD99284" w14:textId="07B279CE" w:rsidR="005D7758" w:rsidRPr="00A960D3" w:rsidRDefault="005D7758" w:rsidP="005D7758">
            <w:pPr>
              <w:spacing w:after="120"/>
              <w:ind w:left="164" w:right="312"/>
              <w:jc w:val="both"/>
              <w:rPr>
                <w:rStyle w:val="Collegamentoipertestuale"/>
                <w:b/>
                <w:bCs/>
              </w:rPr>
            </w:pPr>
            <w:r>
              <w:rPr>
                <w:rStyle w:val="Collegamentoipertestuale"/>
                <w:b/>
                <w:bCs/>
                <w:color w:val="C00000"/>
                <w:u w:val="none"/>
              </w:rPr>
              <w:fldChar w:fldCharType="begin"/>
            </w:r>
            <w:r w:rsidR="00FC1A7B">
              <w:rPr>
                <w:rStyle w:val="Collegamentoipertestuale"/>
                <w:b/>
                <w:bCs/>
                <w:color w:val="C00000"/>
                <w:u w:val="none"/>
              </w:rPr>
              <w:instrText>HYPERLINK "Definizioni/6PA%20Tariffe%20polizia%20amministrativa.docx"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istruttori</w:t>
            </w:r>
          </w:p>
          <w:p w14:paraId="41D6C531" w14:textId="77777777" w:rsidR="005D7758" w:rsidRDefault="005D7758" w:rsidP="005D7758">
            <w:pPr>
              <w:autoSpaceDE w:val="0"/>
              <w:autoSpaceDN w:val="0"/>
              <w:adjustRightInd w:val="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6757D0B9" w14:textId="77777777" w:rsidR="005D7758" w:rsidRPr="00042B0E" w:rsidRDefault="005D7758" w:rsidP="005D7758">
            <w:pPr>
              <w:ind w:left="164" w:right="312"/>
              <w:jc w:val="both"/>
              <w:rPr>
                <w:rStyle w:val="Collegamentoipertestuale"/>
                <w:b/>
                <w:bCs/>
              </w:rPr>
            </w:pPr>
          </w:p>
          <w:p w14:paraId="31713D66" w14:textId="115561E1" w:rsidR="005D7758" w:rsidRPr="0045459B" w:rsidRDefault="00FA040B" w:rsidP="005D7758">
            <w:pPr>
              <w:ind w:left="164" w:right="312"/>
              <w:jc w:val="both"/>
              <w:rPr>
                <w:rFonts w:eastAsia="Times New Roman"/>
                <w:b/>
                <w:bCs/>
                <w:color w:val="auto"/>
                <w:sz w:val="20"/>
                <w:szCs w:val="20"/>
                <w:u w:val="none"/>
                <w:lang w:eastAsia="it-IT"/>
              </w:rPr>
            </w:pPr>
            <w:hyperlink r:id="rId8" w:history="1">
              <w:r w:rsidR="005D7758" w:rsidRPr="005D7758">
                <w:rPr>
                  <w:rStyle w:val="Collegamentoipertestuale"/>
                  <w:b/>
                  <w:color w:val="C00000"/>
                  <w:u w:val="none"/>
                </w:rPr>
                <w:t>Tempistica</w:t>
              </w:r>
            </w:hyperlink>
            <w:r w:rsidR="005D7758">
              <w:rPr>
                <w:rStyle w:val="Collegamentoipertestuale"/>
                <w:b/>
                <w:color w:val="C00000"/>
                <w:u w:val="none"/>
              </w:rPr>
              <w:t xml:space="preserve"> </w:t>
            </w:r>
            <w:r w:rsidR="005D7758" w:rsidRPr="005D7758">
              <w:rPr>
                <w:rStyle w:val="Collegamentoipertestuale"/>
                <w:color w:val="C00000"/>
                <w:u w:val="none"/>
              </w:rPr>
              <w:t xml:space="preserve">- </w:t>
            </w:r>
            <w:r w:rsidR="005D7758" w:rsidRPr="0045459B">
              <w:rPr>
                <w:rFonts w:eastAsia="Times New Roman"/>
                <w:b/>
                <w:bCs/>
                <w:color w:val="auto"/>
                <w:sz w:val="20"/>
                <w:szCs w:val="20"/>
                <w:u w:val="none"/>
                <w:lang w:eastAsia="it-IT"/>
              </w:rPr>
              <w:t>Eventuale diniego è disposto almeno 24 ore prima dell’inizio della manifestazione salvo impedimenti dell’ultimo momento ed imprevedibili</w:t>
            </w:r>
            <w:r w:rsidR="005D7758">
              <w:rPr>
                <w:rFonts w:eastAsia="Times New Roman"/>
                <w:b/>
                <w:bCs/>
                <w:color w:val="auto"/>
                <w:sz w:val="20"/>
                <w:szCs w:val="20"/>
                <w:u w:val="none"/>
                <w:lang w:eastAsia="it-IT"/>
              </w:rPr>
              <w:t>.</w:t>
            </w:r>
          </w:p>
          <w:p w14:paraId="2C813716" w14:textId="5940959F" w:rsidR="005D7758" w:rsidRDefault="005D7758" w:rsidP="005D7758">
            <w:pPr>
              <w:autoSpaceDE w:val="0"/>
              <w:autoSpaceDN w:val="0"/>
              <w:adjustRightInd w:val="0"/>
              <w:ind w:left="164" w:right="312"/>
              <w:jc w:val="both"/>
            </w:pPr>
          </w:p>
          <w:p w14:paraId="12DEDD5C" w14:textId="0E084DB5" w:rsidR="007E7345" w:rsidRPr="00945B26" w:rsidRDefault="00FA040B" w:rsidP="007E7345">
            <w:pPr>
              <w:pStyle w:val="Rientrocorpodeltesto"/>
              <w:spacing w:after="0"/>
              <w:ind w:left="164"/>
              <w:jc w:val="both"/>
              <w:rPr>
                <w:sz w:val="20"/>
                <w:szCs w:val="20"/>
              </w:rPr>
            </w:pPr>
            <w:hyperlink r:id="rId9" w:history="1">
              <w:r w:rsidR="005D7758" w:rsidRPr="00B8144D">
                <w:rPr>
                  <w:rStyle w:val="Collegamentoipertestuale"/>
                  <w:b/>
                  <w:color w:val="C00000"/>
                  <w:u w:val="none"/>
                </w:rPr>
                <w:t>Normativa di riferimento</w:t>
              </w:r>
            </w:hyperlink>
            <w:r w:rsidR="005D7758" w:rsidRPr="00B8144D">
              <w:rPr>
                <w:rStyle w:val="Collegamentoipertestuale"/>
                <w:b/>
                <w:color w:val="C00000"/>
                <w:u w:val="none"/>
              </w:rPr>
              <w:t>:</w:t>
            </w:r>
            <w:r w:rsidR="005D7758">
              <w:rPr>
                <w:rStyle w:val="Collegamentoipertestuale"/>
                <w:b/>
                <w:color w:val="C00000"/>
                <w:sz w:val="24"/>
                <w:szCs w:val="24"/>
                <w:u w:val="none"/>
              </w:rPr>
              <w:t xml:space="preserve"> </w:t>
            </w:r>
            <w:r w:rsidR="005D7758" w:rsidRPr="00945B26">
              <w:rPr>
                <w:rStyle w:val="Collegamentoipertestuale"/>
                <w:b/>
                <w:color w:val="C00000"/>
                <w:sz w:val="24"/>
                <w:szCs w:val="24"/>
                <w:u w:val="none"/>
              </w:rPr>
              <w:t xml:space="preserve"> </w:t>
            </w:r>
            <w:r w:rsidR="005D7758">
              <w:rPr>
                <w:rStyle w:val="Collegamentoipertestuale"/>
                <w:b/>
                <w:color w:val="C00000"/>
                <w:sz w:val="24"/>
                <w:szCs w:val="24"/>
                <w:u w:val="none"/>
              </w:rPr>
              <w:t xml:space="preserve"> </w:t>
            </w:r>
            <w:hyperlink r:id="rId10" w:history="1">
              <w:r w:rsidR="0013357D" w:rsidRPr="009D241B">
                <w:rPr>
                  <w:rStyle w:val="Collegamentoipertestuale"/>
                  <w:b/>
                  <w:sz w:val="20"/>
                  <w:szCs w:val="20"/>
                </w:rPr>
                <w:t>TUR parte 5^</w:t>
              </w:r>
            </w:hyperlink>
            <w:r w:rsidR="0013357D" w:rsidRPr="00945B26">
              <w:rPr>
                <w:color w:val="0000FF"/>
                <w:sz w:val="20"/>
                <w:szCs w:val="20"/>
              </w:rPr>
              <w:t xml:space="preserve"> </w:t>
            </w:r>
            <w:r w:rsidR="007E7345" w:rsidRPr="00945B26">
              <w:rPr>
                <w:color w:val="auto"/>
                <w:sz w:val="20"/>
                <w:szCs w:val="20"/>
                <w:u w:val="none"/>
              </w:rPr>
              <w:t xml:space="preserve">- </w:t>
            </w:r>
            <w:r w:rsidR="007E7345">
              <w:rPr>
                <w:color w:val="auto"/>
                <w:sz w:val="20"/>
                <w:szCs w:val="20"/>
                <w:u w:val="none"/>
              </w:rPr>
              <w:t>Polizia amministrativa</w:t>
            </w:r>
          </w:p>
          <w:p w14:paraId="32E85BF6" w14:textId="0ADED44A" w:rsidR="005D7758" w:rsidRPr="00945B26" w:rsidRDefault="005D7758" w:rsidP="005D7758">
            <w:pPr>
              <w:pStyle w:val="Paragrafoelenco"/>
              <w:spacing w:after="120"/>
              <w:ind w:left="164" w:right="312"/>
              <w:jc w:val="both"/>
              <w:rPr>
                <w:rStyle w:val="Collegamentoipertestuale"/>
                <w:b/>
                <w:color w:val="C00000"/>
                <w:sz w:val="24"/>
                <w:szCs w:val="24"/>
                <w:u w:val="none"/>
              </w:rPr>
            </w:pPr>
          </w:p>
          <w:p w14:paraId="171CB952" w14:textId="77777777" w:rsidR="005D7758" w:rsidRPr="00B8144D" w:rsidRDefault="005D7758" w:rsidP="005D7758">
            <w:pPr>
              <w:pStyle w:val="Paragrafoelenco"/>
              <w:spacing w:after="120"/>
              <w:ind w:left="164" w:right="312"/>
              <w:jc w:val="both"/>
              <w:rPr>
                <w:color w:val="C00000"/>
              </w:rPr>
            </w:pPr>
            <w:r w:rsidRPr="00B8144D">
              <w:rPr>
                <w:b/>
                <w:color w:val="C00000"/>
                <w:u w:val="none"/>
              </w:rPr>
              <w:t>Note:</w:t>
            </w:r>
            <w:r w:rsidRPr="00B8144D">
              <w:rPr>
                <w:color w:val="C00000"/>
              </w:rPr>
              <w:t xml:space="preserve"> </w:t>
            </w:r>
          </w:p>
          <w:p w14:paraId="43FE472B" w14:textId="77777777" w:rsidR="005D7758" w:rsidRDefault="00FA040B" w:rsidP="005D7758">
            <w:pPr>
              <w:spacing w:after="120"/>
              <w:ind w:left="164"/>
              <w:rPr>
                <w:rFonts w:eastAsia="Times New Roman"/>
                <w:b/>
                <w:color w:val="0000FF"/>
                <w:sz w:val="20"/>
                <w:szCs w:val="20"/>
                <w:lang w:eastAsia="it-IT"/>
              </w:rPr>
            </w:pPr>
            <w:hyperlink r:id="rId11" w:history="1">
              <w:r w:rsidR="005D7758">
                <w:rPr>
                  <w:rStyle w:val="Collegamentoipertestuale"/>
                  <w:rFonts w:eastAsia="Times New Roman"/>
                  <w:b/>
                  <w:sz w:val="20"/>
                  <w:szCs w:val="20"/>
                  <w:lang w:eastAsia="it-IT"/>
                </w:rPr>
                <w:t>Testo unico di Pubblica Sicurezza</w:t>
              </w:r>
            </w:hyperlink>
          </w:p>
          <w:p w14:paraId="0CFD284C" w14:textId="77777777" w:rsidR="005D7758" w:rsidRDefault="00FA040B" w:rsidP="005D7758">
            <w:pPr>
              <w:ind w:left="164"/>
              <w:rPr>
                <w:rStyle w:val="Collegamentoipertestuale"/>
                <w:rFonts w:eastAsia="Times New Roman"/>
                <w:b/>
                <w:sz w:val="20"/>
                <w:szCs w:val="20"/>
                <w:lang w:eastAsia="it-IT"/>
              </w:rPr>
            </w:pPr>
            <w:hyperlink r:id="rId12" w:history="1">
              <w:r w:rsidR="005D7758">
                <w:rPr>
                  <w:rStyle w:val="Collegamentoipertestuale"/>
                  <w:rFonts w:eastAsia="Times New Roman"/>
                  <w:b/>
                  <w:sz w:val="20"/>
                  <w:szCs w:val="20"/>
                  <w:lang w:eastAsia="it-IT"/>
                </w:rPr>
                <w:t>Regolamento Testo Unico di Pubblica Sicurezza</w:t>
              </w:r>
            </w:hyperlink>
          </w:p>
          <w:p w14:paraId="2B768D81" w14:textId="77777777" w:rsidR="00F07CBF" w:rsidRPr="00F07CBF" w:rsidRDefault="00F07CBF" w:rsidP="00F07CBF">
            <w:pPr>
              <w:pStyle w:val="Paragrafoelenco"/>
              <w:spacing w:line="270" w:lineRule="atLeast"/>
              <w:ind w:left="644"/>
              <w:rPr>
                <w:rFonts w:eastAsia="Times New Roman"/>
                <w:color w:val="C00000"/>
                <w:sz w:val="24"/>
                <w:szCs w:val="24"/>
                <w:u w:val="none"/>
                <w:lang w:eastAsia="it-IT"/>
              </w:rPr>
            </w:pPr>
          </w:p>
          <w:p w14:paraId="7FA0BBF6" w14:textId="0230E122" w:rsidR="00E47FD3" w:rsidRPr="0041512A" w:rsidRDefault="00E47FD3" w:rsidP="005D7758">
            <w:pPr>
              <w:ind w:left="164"/>
              <w:rPr>
                <w:b/>
                <w:sz w:val="24"/>
                <w:szCs w:val="24"/>
                <w:u w:val="none"/>
              </w:rPr>
            </w:pPr>
          </w:p>
        </w:tc>
      </w:tr>
    </w:tbl>
    <w:p w14:paraId="499194B7" w14:textId="77777777" w:rsidR="00342D58" w:rsidRDefault="00342D58">
      <w:pPr>
        <w:rPr>
          <w:b/>
        </w:rPr>
      </w:pPr>
    </w:p>
    <w:p w14:paraId="71031987" w14:textId="77777777" w:rsidR="005E5880" w:rsidRPr="00342D58" w:rsidRDefault="005E5880">
      <w:pPr>
        <w:rPr>
          <w:b/>
        </w:rPr>
      </w:pPr>
    </w:p>
    <w:sectPr w:rsidR="005E5880"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135F53FF"/>
    <w:multiLevelType w:val="multilevel"/>
    <w:tmpl w:val="319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D71C9"/>
    <w:multiLevelType w:val="multilevel"/>
    <w:tmpl w:val="080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F0050"/>
    <w:multiLevelType w:val="multilevel"/>
    <w:tmpl w:val="40A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5"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6" w15:restartNumberingAfterBreak="0">
    <w:nsid w:val="36D721AF"/>
    <w:multiLevelType w:val="hybridMultilevel"/>
    <w:tmpl w:val="B7DE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num w:numId="1">
    <w:abstractNumId w:val="8"/>
  </w:num>
  <w:num w:numId="2">
    <w:abstractNumId w:val="7"/>
  </w:num>
  <w:num w:numId="3">
    <w:abstractNumId w:val="5"/>
  </w:num>
  <w:num w:numId="4">
    <w:abstractNumId w:val="10"/>
  </w:num>
  <w:num w:numId="5">
    <w:abstractNumId w:val="0"/>
  </w:num>
  <w:num w:numId="6">
    <w:abstractNumId w:val="9"/>
  </w:num>
  <w:num w:numId="7">
    <w:abstractNumId w:val="4"/>
  </w:num>
  <w:num w:numId="8">
    <w:abstractNumId w:val="2"/>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3034E"/>
    <w:rsid w:val="000E4B7E"/>
    <w:rsid w:val="000F3ADF"/>
    <w:rsid w:val="00112873"/>
    <w:rsid w:val="00117F1E"/>
    <w:rsid w:val="0013357D"/>
    <w:rsid w:val="001B4876"/>
    <w:rsid w:val="0020404C"/>
    <w:rsid w:val="002210DE"/>
    <w:rsid w:val="0023487B"/>
    <w:rsid w:val="00237016"/>
    <w:rsid w:val="00276654"/>
    <w:rsid w:val="002A5D7C"/>
    <w:rsid w:val="002A6285"/>
    <w:rsid w:val="002B375D"/>
    <w:rsid w:val="00323AE0"/>
    <w:rsid w:val="00342D58"/>
    <w:rsid w:val="003A4A32"/>
    <w:rsid w:val="003C5FBA"/>
    <w:rsid w:val="0041512A"/>
    <w:rsid w:val="004257E1"/>
    <w:rsid w:val="0044342C"/>
    <w:rsid w:val="0045341A"/>
    <w:rsid w:val="004704B5"/>
    <w:rsid w:val="00493BD0"/>
    <w:rsid w:val="004A1B75"/>
    <w:rsid w:val="004F3CF0"/>
    <w:rsid w:val="004F59C5"/>
    <w:rsid w:val="004F667B"/>
    <w:rsid w:val="00506E58"/>
    <w:rsid w:val="005930C1"/>
    <w:rsid w:val="005C01FD"/>
    <w:rsid w:val="005C68B2"/>
    <w:rsid w:val="005C720B"/>
    <w:rsid w:val="005D7758"/>
    <w:rsid w:val="005E5880"/>
    <w:rsid w:val="00621A5C"/>
    <w:rsid w:val="00651378"/>
    <w:rsid w:val="00692827"/>
    <w:rsid w:val="006B29D2"/>
    <w:rsid w:val="006B3A13"/>
    <w:rsid w:val="006C7151"/>
    <w:rsid w:val="00705665"/>
    <w:rsid w:val="00737DA2"/>
    <w:rsid w:val="00746376"/>
    <w:rsid w:val="00780271"/>
    <w:rsid w:val="007E7345"/>
    <w:rsid w:val="0082478D"/>
    <w:rsid w:val="00897F79"/>
    <w:rsid w:val="00945B26"/>
    <w:rsid w:val="009A4645"/>
    <w:rsid w:val="009C0F33"/>
    <w:rsid w:val="00A06B50"/>
    <w:rsid w:val="00A123BB"/>
    <w:rsid w:val="00AC2153"/>
    <w:rsid w:val="00B0731C"/>
    <w:rsid w:val="00B66F7C"/>
    <w:rsid w:val="00B72C98"/>
    <w:rsid w:val="00BD5E62"/>
    <w:rsid w:val="00BF42AE"/>
    <w:rsid w:val="00C459E8"/>
    <w:rsid w:val="00C75D34"/>
    <w:rsid w:val="00CD592E"/>
    <w:rsid w:val="00CE16FB"/>
    <w:rsid w:val="00D16B5E"/>
    <w:rsid w:val="00DC5DC3"/>
    <w:rsid w:val="00DF0435"/>
    <w:rsid w:val="00E25843"/>
    <w:rsid w:val="00E47FD3"/>
    <w:rsid w:val="00E660BB"/>
    <w:rsid w:val="00EB1403"/>
    <w:rsid w:val="00EE371A"/>
    <w:rsid w:val="00F07CBF"/>
    <w:rsid w:val="00F2381A"/>
    <w:rsid w:val="00F312D0"/>
    <w:rsid w:val="00F33A15"/>
    <w:rsid w:val="00F9214D"/>
    <w:rsid w:val="00FA040B"/>
    <w:rsid w:val="00FC1A7B"/>
    <w:rsid w:val="00FC1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2924"/>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semiHidden/>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45B26"/>
  </w:style>
  <w:style w:type="table" w:customStyle="1" w:styleId="TableGrid">
    <w:name w:val="TableGrid"/>
    <w:rsid w:val="005E5880"/>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490">
      <w:bodyDiv w:val="1"/>
      <w:marLeft w:val="0"/>
      <w:marRight w:val="0"/>
      <w:marTop w:val="0"/>
      <w:marBottom w:val="0"/>
      <w:divBdr>
        <w:top w:val="none" w:sz="0" w:space="0" w:color="auto"/>
        <w:left w:val="none" w:sz="0" w:space="0" w:color="auto"/>
        <w:bottom w:val="none" w:sz="0" w:space="0" w:color="auto"/>
        <w:right w:val="none" w:sz="0" w:space="0" w:color="auto"/>
      </w:divBdr>
    </w:div>
    <w:div w:id="14636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alter\sportello%20unico\Progetto%20PUC\PUC\5%20Procedimenti\Definizioni\Tempistic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odulistica/3PA%20-%20Accensioni%20pericolose.pdf" TargetMode="External"/><Relationship Id="rId12" Type="http://schemas.openxmlformats.org/officeDocument/2006/relationships/hyperlink" Target="https://www.tuttocamere.it/files/psicurezza/1940_6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https://www.tuttocamere.it/files/psicurezza/1931_773.pdf" TargetMode="External"/><Relationship Id="rId5" Type="http://schemas.openxmlformats.org/officeDocument/2006/relationships/hyperlink" Target="../PROCEDIMENTI.docx" TargetMode="External"/><Relationship Id="rId10" Type="http://schemas.openxmlformats.org/officeDocument/2006/relationships/hyperlink" Target="file:///C:\Walter\sportello%20unico\Progetto%20PUC\TUR\Parte%205%5e.pdf" TargetMode="External"/><Relationship Id="rId4" Type="http://schemas.openxmlformats.org/officeDocument/2006/relationships/webSettings" Target="webSettings.xml"/><Relationship Id="rId9" Type="http://schemas.openxmlformats.org/officeDocument/2006/relationships/hyperlink" Target="file:///C:\Walter\sportello%20unico\Progetto%20PUC\PUC\5%20Procedimenti\Definizioni\Riferimenti%20normativi%20e%20di%20controllo.docx"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486</Words>
  <Characters>2776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53</cp:revision>
  <dcterms:created xsi:type="dcterms:W3CDTF">2018-04-13T14:42:00Z</dcterms:created>
  <dcterms:modified xsi:type="dcterms:W3CDTF">2021-05-11T14:16:00Z</dcterms:modified>
</cp:coreProperties>
</file>